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7D4" w:rsidRDefault="00E777D4" w:rsidP="00F13FC8">
      <w:pPr>
        <w:spacing w:after="0" w:line="240" w:lineRule="auto"/>
        <w:jc w:val="center"/>
        <w:rPr>
          <w:rFonts w:asciiTheme="majorBidi" w:hAnsiTheme="majorBidi" w:cstheme="majorBidi"/>
          <w:b/>
          <w:bCs/>
          <w:sz w:val="24"/>
          <w:szCs w:val="24"/>
          <w:lang w:val="fr-FR"/>
        </w:rPr>
      </w:pPr>
      <w:r>
        <w:rPr>
          <w:noProof/>
        </w:rPr>
        <w:drawing>
          <wp:anchor distT="0" distB="0" distL="114300" distR="114300" simplePos="0" relativeHeight="251657216" behindDoc="1" locked="0" layoutInCell="1" allowOverlap="1">
            <wp:simplePos x="0" y="0"/>
            <wp:positionH relativeFrom="column">
              <wp:posOffset>152400</wp:posOffset>
            </wp:positionH>
            <wp:positionV relativeFrom="paragraph">
              <wp:posOffset>-409575</wp:posOffset>
            </wp:positionV>
            <wp:extent cx="1028700" cy="1152525"/>
            <wp:effectExtent l="19050" t="0" r="0" b="0"/>
            <wp:wrapNone/>
            <wp:docPr id="2" name="صورة 3" descr="https://fbcdn-sphotos-h-a.akamaihd.net/hphotos-ak-ash4/189208_289517004495339_46613186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 descr="https://fbcdn-sphotos-h-a.akamaihd.net/hphotos-ak-ash4/189208_289517004495339_466131868_n.jpg"/>
                    <pic:cNvPicPr>
                      <a:picLocks noChangeAspect="1" noChangeArrowheads="1"/>
                    </pic:cNvPicPr>
                  </pic:nvPicPr>
                  <pic:blipFill>
                    <a:blip r:embed="rId5" r:link="rId6"/>
                    <a:srcRect/>
                    <a:stretch>
                      <a:fillRect/>
                    </a:stretch>
                  </pic:blipFill>
                  <pic:spPr bwMode="auto">
                    <a:xfrm>
                      <a:off x="0" y="0"/>
                      <a:ext cx="1028700" cy="1152525"/>
                    </a:xfrm>
                    <a:prstGeom prst="rect">
                      <a:avLst/>
                    </a:prstGeom>
                    <a:noFill/>
                  </pic:spPr>
                </pic:pic>
              </a:graphicData>
            </a:graphic>
          </wp:anchor>
        </w:drawing>
      </w:r>
      <w:r>
        <w:rPr>
          <w:noProof/>
        </w:rPr>
        <w:drawing>
          <wp:anchor distT="0" distB="0" distL="114300" distR="114300" simplePos="0" relativeHeight="251658240" behindDoc="1" locked="0" layoutInCell="1" allowOverlap="1">
            <wp:simplePos x="0" y="0"/>
            <wp:positionH relativeFrom="column">
              <wp:posOffset>5019675</wp:posOffset>
            </wp:positionH>
            <wp:positionV relativeFrom="paragraph">
              <wp:posOffset>-409575</wp:posOffset>
            </wp:positionV>
            <wp:extent cx="1009015" cy="1152525"/>
            <wp:effectExtent l="19050" t="0" r="635" b="0"/>
            <wp:wrapNone/>
            <wp:docPr id="3" name="Image 26" descr="https://fbcdn-sphotos-h-a.akamaihd.net/hphotos-ak-ash4/189208_289517004495339_46613186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6" descr="https://fbcdn-sphotos-h-a.akamaihd.net/hphotos-ak-ash4/189208_289517004495339_466131868_n.jpg"/>
                    <pic:cNvPicPr>
                      <a:picLocks noChangeAspect="1" noChangeArrowheads="1"/>
                    </pic:cNvPicPr>
                  </pic:nvPicPr>
                  <pic:blipFill>
                    <a:blip r:embed="rId7" r:link="rId6"/>
                    <a:srcRect/>
                    <a:stretch>
                      <a:fillRect/>
                    </a:stretch>
                  </pic:blipFill>
                  <pic:spPr bwMode="auto">
                    <a:xfrm>
                      <a:off x="0" y="0"/>
                      <a:ext cx="1009015" cy="1152525"/>
                    </a:xfrm>
                    <a:prstGeom prst="rect">
                      <a:avLst/>
                    </a:prstGeom>
                    <a:noFill/>
                  </pic:spPr>
                </pic:pic>
              </a:graphicData>
            </a:graphic>
          </wp:anchor>
        </w:drawing>
      </w:r>
      <w:r>
        <w:rPr>
          <w:rFonts w:asciiTheme="majorBidi" w:hAnsiTheme="majorBidi" w:cstheme="majorBidi"/>
          <w:b/>
          <w:bCs/>
          <w:sz w:val="24"/>
          <w:szCs w:val="24"/>
          <w:lang w:val="fr-FR"/>
        </w:rPr>
        <w:t>Université d’El-Oued</w:t>
      </w:r>
    </w:p>
    <w:p w:rsidR="00E777D4" w:rsidRDefault="00E777D4" w:rsidP="00F13FC8">
      <w:pPr>
        <w:spacing w:after="0" w:line="240" w:lineRule="auto"/>
        <w:jc w:val="center"/>
        <w:rPr>
          <w:rFonts w:asciiTheme="majorBidi" w:hAnsiTheme="majorBidi" w:cstheme="majorBidi"/>
          <w:b/>
          <w:bCs/>
          <w:sz w:val="24"/>
          <w:szCs w:val="24"/>
          <w:lang w:val="fr-FR"/>
        </w:rPr>
      </w:pPr>
      <w:r>
        <w:rPr>
          <w:rFonts w:asciiTheme="majorBidi" w:hAnsiTheme="majorBidi" w:cstheme="majorBidi"/>
          <w:b/>
          <w:bCs/>
          <w:sz w:val="24"/>
          <w:szCs w:val="24"/>
          <w:lang w:val="fr-FR"/>
        </w:rPr>
        <w:t>Faculté des lettres et des langues</w:t>
      </w:r>
    </w:p>
    <w:p w:rsidR="00E777D4" w:rsidRDefault="00E777D4" w:rsidP="00F13FC8">
      <w:pPr>
        <w:spacing w:after="0" w:line="240" w:lineRule="auto"/>
        <w:jc w:val="center"/>
        <w:rPr>
          <w:rFonts w:asciiTheme="majorBidi" w:hAnsiTheme="majorBidi" w:cstheme="majorBidi"/>
          <w:b/>
          <w:bCs/>
          <w:sz w:val="24"/>
          <w:szCs w:val="24"/>
          <w:lang w:val="fr-FR"/>
        </w:rPr>
      </w:pPr>
      <w:r>
        <w:rPr>
          <w:rFonts w:asciiTheme="majorBidi" w:hAnsiTheme="majorBidi" w:cstheme="majorBidi"/>
          <w:b/>
          <w:bCs/>
          <w:sz w:val="24"/>
          <w:szCs w:val="24"/>
          <w:lang w:val="fr-FR"/>
        </w:rPr>
        <w:t>Département des lettres et langue françaises</w:t>
      </w:r>
    </w:p>
    <w:p w:rsidR="00E777D4" w:rsidRDefault="00E777D4" w:rsidP="00F13FC8">
      <w:pPr>
        <w:spacing w:after="0" w:line="240" w:lineRule="auto"/>
        <w:jc w:val="center"/>
        <w:rPr>
          <w:rFonts w:asciiTheme="majorBidi" w:hAnsiTheme="majorBidi" w:cstheme="majorBidi"/>
          <w:b/>
          <w:bCs/>
          <w:sz w:val="24"/>
          <w:szCs w:val="24"/>
          <w:lang w:val="fr-FR"/>
        </w:rPr>
      </w:pPr>
    </w:p>
    <w:p w:rsidR="00E777D4" w:rsidRDefault="00E777D4" w:rsidP="00F13FC8">
      <w:pPr>
        <w:spacing w:after="0" w:line="240" w:lineRule="auto"/>
        <w:jc w:val="center"/>
        <w:rPr>
          <w:rFonts w:asciiTheme="majorBidi" w:hAnsiTheme="majorBidi" w:cstheme="majorBidi"/>
          <w:b/>
          <w:bCs/>
          <w:sz w:val="24"/>
          <w:szCs w:val="24"/>
          <w:lang w:val="fr-FR"/>
        </w:rPr>
      </w:pPr>
    </w:p>
    <w:p w:rsidR="00E777D4" w:rsidRDefault="006010B1" w:rsidP="00F504A4">
      <w:pPr>
        <w:spacing w:after="0" w:line="240" w:lineRule="auto"/>
        <w:jc w:val="center"/>
        <w:rPr>
          <w:rFonts w:asciiTheme="majorBidi" w:hAnsiTheme="majorBidi" w:cstheme="majorBidi"/>
          <w:b/>
          <w:bCs/>
          <w:sz w:val="24"/>
          <w:szCs w:val="24"/>
          <w:lang w:val="fr-FR"/>
        </w:rPr>
      </w:pPr>
      <w:r>
        <w:rPr>
          <w:rFonts w:asciiTheme="majorBidi" w:hAnsiTheme="majorBidi" w:cstheme="majorBidi"/>
          <w:b/>
          <w:bCs/>
          <w:sz w:val="24"/>
          <w:szCs w:val="24"/>
          <w:lang w:val="fr-FR"/>
        </w:rPr>
        <w:t>Corrigé</w:t>
      </w:r>
      <w:r w:rsidR="00F504A4">
        <w:rPr>
          <w:rFonts w:asciiTheme="majorBidi" w:hAnsiTheme="majorBidi" w:cstheme="majorBidi"/>
          <w:b/>
          <w:bCs/>
          <w:sz w:val="24"/>
          <w:szCs w:val="24"/>
          <w:lang w:val="fr-FR"/>
        </w:rPr>
        <w:t>-</w:t>
      </w:r>
      <w:r>
        <w:rPr>
          <w:rFonts w:asciiTheme="majorBidi" w:hAnsiTheme="majorBidi" w:cstheme="majorBidi"/>
          <w:b/>
          <w:bCs/>
          <w:sz w:val="24"/>
          <w:szCs w:val="24"/>
          <w:lang w:val="fr-FR"/>
        </w:rPr>
        <w:t>type</w:t>
      </w:r>
      <w:r w:rsidR="00E777D4">
        <w:rPr>
          <w:rFonts w:asciiTheme="majorBidi" w:hAnsiTheme="majorBidi" w:cstheme="majorBidi"/>
          <w:b/>
          <w:bCs/>
          <w:sz w:val="24"/>
          <w:szCs w:val="24"/>
          <w:lang w:val="fr-FR"/>
        </w:rPr>
        <w:t xml:space="preserve"> </w:t>
      </w:r>
      <w:r w:rsidR="00F13FC8">
        <w:rPr>
          <w:rFonts w:asciiTheme="majorBidi" w:hAnsiTheme="majorBidi" w:cstheme="majorBidi"/>
          <w:b/>
          <w:bCs/>
          <w:sz w:val="24"/>
          <w:szCs w:val="24"/>
          <w:lang w:val="fr-FR"/>
        </w:rPr>
        <w:t xml:space="preserve">de l’examen </w:t>
      </w:r>
      <w:r w:rsidR="00E777D4">
        <w:rPr>
          <w:rFonts w:asciiTheme="majorBidi" w:hAnsiTheme="majorBidi" w:cstheme="majorBidi"/>
          <w:b/>
          <w:bCs/>
          <w:sz w:val="24"/>
          <w:szCs w:val="24"/>
          <w:lang w:val="fr-FR"/>
        </w:rPr>
        <w:t xml:space="preserve">du </w:t>
      </w:r>
      <w:r>
        <w:rPr>
          <w:rFonts w:asciiTheme="majorBidi" w:hAnsiTheme="majorBidi" w:cstheme="majorBidi"/>
          <w:b/>
          <w:bCs/>
          <w:sz w:val="24"/>
          <w:szCs w:val="24"/>
          <w:lang w:val="fr-FR"/>
        </w:rPr>
        <w:t>1</w:t>
      </w:r>
      <w:r w:rsidRPr="006010B1">
        <w:rPr>
          <w:rFonts w:asciiTheme="majorBidi" w:hAnsiTheme="majorBidi" w:cstheme="majorBidi"/>
          <w:b/>
          <w:bCs/>
          <w:sz w:val="24"/>
          <w:szCs w:val="24"/>
          <w:vertAlign w:val="superscript"/>
          <w:lang w:val="fr-FR"/>
        </w:rPr>
        <w:t>er</w:t>
      </w:r>
      <w:r>
        <w:rPr>
          <w:rFonts w:asciiTheme="majorBidi" w:hAnsiTheme="majorBidi" w:cstheme="majorBidi"/>
          <w:b/>
          <w:bCs/>
          <w:sz w:val="24"/>
          <w:szCs w:val="24"/>
          <w:lang w:val="fr-FR"/>
        </w:rPr>
        <w:t xml:space="preserve"> </w:t>
      </w:r>
      <w:r w:rsidR="00E777D4">
        <w:rPr>
          <w:rFonts w:asciiTheme="majorBidi" w:hAnsiTheme="majorBidi" w:cstheme="majorBidi"/>
          <w:b/>
          <w:bCs/>
          <w:sz w:val="24"/>
          <w:szCs w:val="24"/>
          <w:lang w:val="fr-FR"/>
        </w:rPr>
        <w:t xml:space="preserve"> semestre  2019</w:t>
      </w:r>
      <w:r>
        <w:rPr>
          <w:rFonts w:asciiTheme="majorBidi" w:hAnsiTheme="majorBidi" w:cstheme="majorBidi"/>
          <w:b/>
          <w:bCs/>
          <w:sz w:val="24"/>
          <w:szCs w:val="24"/>
          <w:lang w:val="fr-FR"/>
        </w:rPr>
        <w:t>/2020</w:t>
      </w:r>
    </w:p>
    <w:p w:rsidR="00E777D4" w:rsidRDefault="00E777D4" w:rsidP="00F13FC8">
      <w:pPr>
        <w:spacing w:after="0" w:line="240" w:lineRule="auto"/>
        <w:jc w:val="center"/>
        <w:rPr>
          <w:rFonts w:asciiTheme="majorBidi" w:hAnsiTheme="majorBidi" w:cstheme="majorBidi"/>
          <w:b/>
          <w:bCs/>
          <w:i/>
          <w:sz w:val="24"/>
          <w:szCs w:val="24"/>
          <w:lang w:val="fr-FR"/>
        </w:rPr>
      </w:pPr>
    </w:p>
    <w:p w:rsidR="00E777D4" w:rsidRDefault="00E777D4" w:rsidP="00F13FC8">
      <w:pPr>
        <w:spacing w:after="0" w:line="240" w:lineRule="auto"/>
        <w:rPr>
          <w:rFonts w:asciiTheme="majorBidi" w:hAnsiTheme="majorBidi" w:cstheme="majorBidi"/>
          <w:bCs/>
          <w:i/>
          <w:sz w:val="24"/>
          <w:szCs w:val="24"/>
          <w:lang w:val="fr-FR"/>
        </w:rPr>
      </w:pPr>
      <w:r>
        <w:rPr>
          <w:rFonts w:asciiTheme="majorBidi" w:hAnsiTheme="majorBidi" w:cstheme="majorBidi"/>
          <w:b/>
          <w:bCs/>
          <w:i/>
          <w:sz w:val="24"/>
          <w:szCs w:val="24"/>
          <w:lang w:val="fr-FR"/>
        </w:rPr>
        <w:t>Module </w:t>
      </w:r>
      <w:r>
        <w:rPr>
          <w:rFonts w:asciiTheme="majorBidi" w:hAnsiTheme="majorBidi" w:cstheme="majorBidi"/>
          <w:bCs/>
          <w:i/>
          <w:sz w:val="24"/>
          <w:szCs w:val="24"/>
          <w:lang w:val="fr-FR"/>
        </w:rPr>
        <w:t>: Etude des textes littéraires</w:t>
      </w:r>
    </w:p>
    <w:p w:rsidR="00E777D4" w:rsidRDefault="00E777D4" w:rsidP="00F13FC8">
      <w:pPr>
        <w:spacing w:after="0" w:line="240" w:lineRule="auto"/>
        <w:rPr>
          <w:rFonts w:ascii="Arial Black" w:hAnsi="Arial Black" w:cstheme="majorBidi"/>
          <w:bCs/>
          <w:i/>
          <w:sz w:val="36"/>
          <w:szCs w:val="36"/>
          <w:u w:val="single"/>
          <w:lang w:val="fr-FR"/>
        </w:rPr>
      </w:pPr>
      <w:r>
        <w:rPr>
          <w:rFonts w:asciiTheme="majorBidi" w:hAnsiTheme="majorBidi" w:cstheme="majorBidi"/>
          <w:b/>
          <w:bCs/>
          <w:i/>
          <w:sz w:val="24"/>
          <w:szCs w:val="24"/>
          <w:lang w:val="fr-FR"/>
        </w:rPr>
        <w:t>Niveau </w:t>
      </w:r>
      <w:r>
        <w:rPr>
          <w:rFonts w:asciiTheme="majorBidi" w:hAnsiTheme="majorBidi" w:cstheme="majorBidi"/>
          <w:bCs/>
          <w:i/>
          <w:sz w:val="24"/>
          <w:szCs w:val="24"/>
          <w:lang w:val="fr-FR"/>
        </w:rPr>
        <w:t>: 3</w:t>
      </w:r>
      <w:r>
        <w:rPr>
          <w:rFonts w:asciiTheme="majorBidi" w:hAnsiTheme="majorBidi" w:cstheme="majorBidi"/>
          <w:bCs/>
          <w:i/>
          <w:sz w:val="24"/>
          <w:szCs w:val="24"/>
          <w:vertAlign w:val="superscript"/>
          <w:lang w:val="fr-FR"/>
        </w:rPr>
        <w:t>ème</w:t>
      </w:r>
      <w:r>
        <w:rPr>
          <w:rFonts w:asciiTheme="majorBidi" w:hAnsiTheme="majorBidi" w:cstheme="majorBidi"/>
          <w:bCs/>
          <w:i/>
          <w:sz w:val="24"/>
          <w:szCs w:val="24"/>
          <w:lang w:val="fr-FR"/>
        </w:rPr>
        <w:t xml:space="preserve">  année.</w:t>
      </w:r>
    </w:p>
    <w:p w:rsidR="002964D9" w:rsidRDefault="002964D9" w:rsidP="00F13FC8">
      <w:pPr>
        <w:jc w:val="both"/>
        <w:rPr>
          <w:b/>
          <w:bCs/>
          <w:sz w:val="24"/>
          <w:szCs w:val="24"/>
          <w:lang w:val="fr-FR"/>
        </w:rPr>
      </w:pPr>
    </w:p>
    <w:p w:rsidR="00DE78EB" w:rsidRDefault="00F509F4" w:rsidP="00F13FC8">
      <w:pPr>
        <w:jc w:val="both"/>
        <w:rPr>
          <w:sz w:val="28"/>
          <w:szCs w:val="28"/>
          <w:lang w:val="fr-FR"/>
        </w:rPr>
      </w:pPr>
      <w:r w:rsidRPr="00F509F4">
        <w:rPr>
          <w:sz w:val="28"/>
          <w:szCs w:val="28"/>
          <w:lang w:val="fr-FR"/>
        </w:rPr>
        <w:t xml:space="preserve">1/ </w:t>
      </w:r>
    </w:p>
    <w:p w:rsidR="00F509F4" w:rsidRPr="00DE78EB" w:rsidRDefault="00DE78EB" w:rsidP="00DE78EB">
      <w:pPr>
        <w:pStyle w:val="Paragraphedeliste"/>
        <w:numPr>
          <w:ilvl w:val="0"/>
          <w:numId w:val="2"/>
        </w:numPr>
        <w:jc w:val="both"/>
        <w:rPr>
          <w:sz w:val="28"/>
          <w:szCs w:val="28"/>
          <w:lang w:val="fr-FR"/>
        </w:rPr>
      </w:pPr>
      <w:r w:rsidRPr="00DE78EB">
        <w:rPr>
          <w:sz w:val="28"/>
          <w:szCs w:val="28"/>
          <w:lang w:val="fr-FR"/>
        </w:rPr>
        <w:t xml:space="preserve">Hugo a vingt-six ans quand il publie ce texte. La France s'endort dans le ronron de la Restauration. </w:t>
      </w:r>
      <w:r w:rsidR="00F509F4" w:rsidRPr="00DE78EB">
        <w:rPr>
          <w:sz w:val="28"/>
          <w:szCs w:val="28"/>
          <w:lang w:val="fr-FR"/>
        </w:rPr>
        <w:t>Cette impression de sévérité est confirmée dans les premières années du fonctionnement des assises, à la fin de l’Empire et au début de la Restauration, comme la courbe</w:t>
      </w:r>
      <w:r w:rsidRPr="00DE78EB">
        <w:rPr>
          <w:sz w:val="28"/>
          <w:szCs w:val="28"/>
          <w:lang w:val="fr-FR"/>
        </w:rPr>
        <w:t xml:space="preserve"> </w:t>
      </w:r>
      <w:r w:rsidR="00F509F4" w:rsidRPr="00DE78EB">
        <w:rPr>
          <w:sz w:val="28"/>
          <w:szCs w:val="28"/>
          <w:lang w:val="fr-FR"/>
        </w:rPr>
        <w:t>réalisée le montre parfaitement, avec des pointes à</w:t>
      </w:r>
      <w:r w:rsidR="00F509F4" w:rsidRPr="00DE78EB">
        <w:rPr>
          <w:b/>
          <w:bCs/>
          <w:sz w:val="28"/>
          <w:szCs w:val="28"/>
          <w:lang w:val="fr-FR"/>
        </w:rPr>
        <w:t xml:space="preserve"> </w:t>
      </w:r>
      <w:r w:rsidR="00F509F4" w:rsidRPr="00DE78EB">
        <w:rPr>
          <w:rStyle w:val="lev"/>
          <w:b w:val="0"/>
          <w:bCs w:val="0"/>
          <w:sz w:val="28"/>
          <w:szCs w:val="28"/>
          <w:lang w:val="fr-FR"/>
        </w:rPr>
        <w:t>plus de 500 condamnés à mort en 1816 et 1817</w:t>
      </w:r>
      <w:r w:rsidR="00F509F4" w:rsidRPr="00DE78EB">
        <w:rPr>
          <w:b/>
          <w:bCs/>
          <w:sz w:val="28"/>
          <w:szCs w:val="28"/>
          <w:lang w:val="fr-FR"/>
        </w:rPr>
        <w:t xml:space="preserve"> </w:t>
      </w:r>
      <w:r w:rsidR="00F509F4" w:rsidRPr="00DE78EB">
        <w:rPr>
          <w:sz w:val="28"/>
          <w:szCs w:val="28"/>
          <w:lang w:val="fr-FR"/>
        </w:rPr>
        <w:t>pendant une période de forte crise économique et de mise en place de la juridiction d’exception des cours prévôtales jugeant beaucoup d’affaires de brigandage. Des exemples locaux le confirment pleinement. Dans le département du Nord, on compte 120 condamnations capitales de 1811 à 1826, avec des années où il en est prononcé jusqu’à 20 en 1813 et le record,</w:t>
      </w:r>
      <w:r w:rsidR="00F509F4" w:rsidRPr="00DE78EB">
        <w:rPr>
          <w:rStyle w:val="lev"/>
          <w:sz w:val="28"/>
          <w:szCs w:val="28"/>
          <w:lang w:val="fr-FR"/>
        </w:rPr>
        <w:t xml:space="preserve"> </w:t>
      </w:r>
      <w:r w:rsidR="00F509F4" w:rsidRPr="00DE78EB">
        <w:rPr>
          <w:rStyle w:val="lev"/>
          <w:b w:val="0"/>
          <w:bCs w:val="0"/>
          <w:sz w:val="28"/>
          <w:szCs w:val="28"/>
          <w:lang w:val="fr-FR"/>
        </w:rPr>
        <w:t xml:space="preserve">22, en 1817. </w:t>
      </w:r>
      <w:r w:rsidR="00F509F4" w:rsidRPr="00DE78EB">
        <w:rPr>
          <w:sz w:val="28"/>
          <w:szCs w:val="28"/>
          <w:lang w:val="fr-FR"/>
        </w:rPr>
        <w:t>En Eure-et-Loir, sur 46 exécutions capitales de 1811 à 1900, 30 ont été réalisées avant 1832.</w:t>
      </w:r>
    </w:p>
    <w:p w:rsidR="00DE78EB" w:rsidRPr="00DE78EB" w:rsidRDefault="00DE78EB" w:rsidP="00DE78EB">
      <w:pPr>
        <w:pStyle w:val="Paragraphedeliste"/>
        <w:numPr>
          <w:ilvl w:val="0"/>
          <w:numId w:val="2"/>
        </w:numPr>
        <w:jc w:val="both"/>
        <w:rPr>
          <w:sz w:val="28"/>
          <w:szCs w:val="28"/>
          <w:lang w:val="fr-FR"/>
        </w:rPr>
      </w:pPr>
      <w:r>
        <w:rPr>
          <w:sz w:val="28"/>
          <w:szCs w:val="28"/>
          <w:lang w:val="fr-FR"/>
        </w:rPr>
        <w:t>Victor Hugo dénonce la peine de mort.</w:t>
      </w:r>
    </w:p>
    <w:p w:rsidR="003C466A" w:rsidRPr="00F509F4" w:rsidRDefault="00F13FC8" w:rsidP="00F13FC8">
      <w:pPr>
        <w:jc w:val="both"/>
        <w:rPr>
          <w:sz w:val="28"/>
          <w:szCs w:val="28"/>
          <w:lang w:val="fr-FR"/>
        </w:rPr>
      </w:pPr>
      <w:r w:rsidRPr="00F509F4">
        <w:rPr>
          <w:sz w:val="28"/>
          <w:szCs w:val="28"/>
          <w:lang w:val="fr-FR"/>
        </w:rPr>
        <w:t xml:space="preserve">2/ </w:t>
      </w:r>
      <w:r w:rsidR="00F509F4" w:rsidRPr="00F509F4">
        <w:rPr>
          <w:sz w:val="28"/>
          <w:szCs w:val="28"/>
          <w:lang w:val="fr-FR"/>
        </w:rPr>
        <w:t xml:space="preserve"> </w:t>
      </w:r>
      <w:r w:rsidR="003C466A" w:rsidRPr="00F509F4">
        <w:rPr>
          <w:sz w:val="28"/>
          <w:szCs w:val="28"/>
          <w:lang w:val="fr-FR"/>
        </w:rPr>
        <w:t xml:space="preserve">Le dernier jour d’un condamné  de Victor Hugo se présente comme le journal intime d’un homme sur le point d’être exécuté. Pour donner plus d’intensité à son œuvre, l’auteur associe le présent et le passé en recourant à différents procédés. </w:t>
      </w:r>
    </w:p>
    <w:p w:rsidR="003C466A" w:rsidRPr="00F509F4" w:rsidRDefault="003C466A" w:rsidP="00F13FC8">
      <w:pPr>
        <w:jc w:val="both"/>
        <w:rPr>
          <w:sz w:val="28"/>
          <w:szCs w:val="28"/>
          <w:lang w:val="fr-FR"/>
        </w:rPr>
      </w:pPr>
      <w:r w:rsidRPr="00F509F4">
        <w:rPr>
          <w:sz w:val="28"/>
          <w:szCs w:val="28"/>
          <w:lang w:val="fr-FR"/>
        </w:rPr>
        <w:t>Le premier et le dernier paragraphe évoquent la souffrance présente, comme l’exprime la modalité exclamative. Le deuxième paragraphe est un sommaire qui résume les « cinq semaines écoulées » à la seule perspective de l’exécution. Le paragraphe central, plus long que les trois autres, est un retour en arrière</w:t>
      </w:r>
      <w:r w:rsidR="00EE3759" w:rsidRPr="00F509F4">
        <w:rPr>
          <w:sz w:val="28"/>
          <w:szCs w:val="28"/>
          <w:lang w:val="fr-FR"/>
        </w:rPr>
        <w:t xml:space="preserve"> </w:t>
      </w:r>
      <w:r w:rsidRPr="00F509F4">
        <w:rPr>
          <w:sz w:val="28"/>
          <w:szCs w:val="28"/>
          <w:lang w:val="fr-FR"/>
        </w:rPr>
        <w:t>(</w:t>
      </w:r>
      <w:proofErr w:type="spellStart"/>
      <w:r w:rsidRPr="00F509F4">
        <w:rPr>
          <w:sz w:val="28"/>
          <w:szCs w:val="28"/>
          <w:lang w:val="fr-FR"/>
        </w:rPr>
        <w:t>analepse</w:t>
      </w:r>
      <w:proofErr w:type="spellEnd"/>
      <w:r w:rsidRPr="00F509F4">
        <w:rPr>
          <w:sz w:val="28"/>
          <w:szCs w:val="28"/>
          <w:lang w:val="fr-FR"/>
        </w:rPr>
        <w:t xml:space="preserve">) introduit par l’adverbe « autrefois » qui s’oppose au « maintenant » du </w:t>
      </w:r>
      <w:r w:rsidRPr="00F509F4">
        <w:rPr>
          <w:sz w:val="28"/>
          <w:szCs w:val="28"/>
          <w:lang w:val="fr-FR"/>
        </w:rPr>
        <w:lastRenderedPageBreak/>
        <w:t>dernier paragraphe, de même que l’imparfait et la joie contrastent avec le présent et la souffrance</w:t>
      </w:r>
      <w:r w:rsidR="006010B1" w:rsidRPr="00F509F4">
        <w:rPr>
          <w:sz w:val="28"/>
          <w:szCs w:val="28"/>
          <w:lang w:val="fr-FR"/>
        </w:rPr>
        <w:t>.</w:t>
      </w:r>
    </w:p>
    <w:p w:rsidR="006010B1" w:rsidRPr="00F509F4" w:rsidRDefault="006010B1" w:rsidP="00F13FC8">
      <w:pPr>
        <w:jc w:val="both"/>
        <w:rPr>
          <w:sz w:val="28"/>
          <w:szCs w:val="28"/>
          <w:lang w:val="fr-FR"/>
        </w:rPr>
      </w:pPr>
      <w:r w:rsidRPr="00F509F4">
        <w:rPr>
          <w:sz w:val="28"/>
          <w:szCs w:val="28"/>
          <w:lang w:val="fr-FR"/>
        </w:rPr>
        <w:t>En recourant au récit rétrospectif, Victor Hugo oppose fortement un passé</w:t>
      </w:r>
      <w:r w:rsidR="00201FFD" w:rsidRPr="00F509F4">
        <w:rPr>
          <w:sz w:val="28"/>
          <w:szCs w:val="28"/>
          <w:lang w:val="fr-FR"/>
        </w:rPr>
        <w:t xml:space="preserve"> heureux à un présent effroyable. En rendant sensible au lecteur la douleur du condamné, il rend palpable un des arguments contre la peine de mort : cette dernière est une double peine monstrueuse, puisqu’elle ajoute à l’exécution la souffrance morale qui la précède.</w:t>
      </w:r>
    </w:p>
    <w:p w:rsidR="00201FFD" w:rsidRPr="00F509F4" w:rsidRDefault="00201FFD" w:rsidP="00F13FC8">
      <w:pPr>
        <w:jc w:val="both"/>
        <w:rPr>
          <w:sz w:val="28"/>
          <w:szCs w:val="28"/>
          <w:lang w:val="fr-FR"/>
        </w:rPr>
      </w:pPr>
      <w:r w:rsidRPr="00F509F4">
        <w:rPr>
          <w:sz w:val="28"/>
          <w:szCs w:val="28"/>
          <w:lang w:val="fr-FR"/>
        </w:rPr>
        <w:t>Victor Hugo cherche à toucher  son lecteur</w:t>
      </w:r>
      <w:r w:rsidR="00EE3759" w:rsidRPr="00F509F4">
        <w:rPr>
          <w:sz w:val="28"/>
          <w:szCs w:val="28"/>
          <w:lang w:val="fr-FR"/>
        </w:rPr>
        <w:t xml:space="preserve"> pour l’amener à rejeter la peine de mort ; pour cela, il recourt à différents procédés littéraires :</w:t>
      </w:r>
    </w:p>
    <w:p w:rsidR="00400F25" w:rsidRPr="00F509F4" w:rsidRDefault="00400F25" w:rsidP="00F13FC8">
      <w:pPr>
        <w:pStyle w:val="Paragraphedeliste"/>
        <w:numPr>
          <w:ilvl w:val="0"/>
          <w:numId w:val="1"/>
        </w:numPr>
        <w:jc w:val="both"/>
        <w:rPr>
          <w:sz w:val="28"/>
          <w:szCs w:val="28"/>
          <w:lang w:val="fr-FR"/>
        </w:rPr>
      </w:pPr>
      <w:r w:rsidRPr="00F509F4">
        <w:rPr>
          <w:b/>
          <w:bCs/>
          <w:sz w:val="28"/>
          <w:szCs w:val="28"/>
          <w:lang w:val="fr-FR"/>
        </w:rPr>
        <w:t>Le registre pathétique </w:t>
      </w:r>
      <w:r w:rsidRPr="00F509F4">
        <w:rPr>
          <w:sz w:val="28"/>
          <w:szCs w:val="28"/>
          <w:lang w:val="fr-FR"/>
        </w:rPr>
        <w:t>: le contraste entre le présent et le passé</w:t>
      </w:r>
      <w:r w:rsidR="00F13FC8" w:rsidRPr="00F509F4">
        <w:rPr>
          <w:sz w:val="28"/>
          <w:szCs w:val="28"/>
          <w:lang w:val="fr-FR"/>
        </w:rPr>
        <w:t xml:space="preserve"> </w:t>
      </w:r>
      <w:r w:rsidRPr="00F509F4">
        <w:rPr>
          <w:sz w:val="28"/>
          <w:szCs w:val="28"/>
          <w:lang w:val="fr-FR"/>
        </w:rPr>
        <w:t>fait ressortir l’horreur du présent. On observe les temps  des verbes (présent ou imparfait) et l’opposition d’un lexique  mélioratif et d’un lexique péjoratif. Le vocabulaire affectif joue aussi un rôle : « seul », « glacé », « courbé ».</w:t>
      </w:r>
    </w:p>
    <w:p w:rsidR="00400F25" w:rsidRPr="00F509F4" w:rsidRDefault="00F13FC8" w:rsidP="00F13FC8">
      <w:pPr>
        <w:pStyle w:val="Paragraphedeliste"/>
        <w:numPr>
          <w:ilvl w:val="0"/>
          <w:numId w:val="1"/>
        </w:numPr>
        <w:jc w:val="both"/>
        <w:rPr>
          <w:sz w:val="28"/>
          <w:szCs w:val="28"/>
          <w:lang w:val="fr-FR"/>
        </w:rPr>
      </w:pPr>
      <w:r w:rsidRPr="00F509F4">
        <w:rPr>
          <w:b/>
          <w:bCs/>
          <w:sz w:val="28"/>
          <w:szCs w:val="28"/>
          <w:lang w:val="fr-FR"/>
        </w:rPr>
        <w:t>L’é</w:t>
      </w:r>
      <w:r w:rsidR="00400F25" w:rsidRPr="00F509F4">
        <w:rPr>
          <w:b/>
          <w:bCs/>
          <w:sz w:val="28"/>
          <w:szCs w:val="28"/>
          <w:lang w:val="fr-FR"/>
        </w:rPr>
        <w:t>nonciation</w:t>
      </w:r>
      <w:r w:rsidR="00400F25" w:rsidRPr="00F509F4">
        <w:rPr>
          <w:sz w:val="28"/>
          <w:szCs w:val="28"/>
          <w:lang w:val="fr-FR"/>
        </w:rPr>
        <w:t> : le récit est à la 1</w:t>
      </w:r>
      <w:r w:rsidR="00400F25" w:rsidRPr="00F509F4">
        <w:rPr>
          <w:sz w:val="28"/>
          <w:szCs w:val="28"/>
          <w:vertAlign w:val="superscript"/>
          <w:lang w:val="fr-FR"/>
        </w:rPr>
        <w:t>re</w:t>
      </w:r>
      <w:r w:rsidR="00400F25" w:rsidRPr="00F509F4">
        <w:rPr>
          <w:sz w:val="28"/>
          <w:szCs w:val="28"/>
          <w:lang w:val="fr-FR"/>
        </w:rPr>
        <w:t xml:space="preserve"> personne et le lecteur est invité à s’identifier au personnage et à partager sa terreur.</w:t>
      </w:r>
    </w:p>
    <w:p w:rsidR="00400F25" w:rsidRPr="00F509F4" w:rsidRDefault="00400F25" w:rsidP="00F13FC8">
      <w:pPr>
        <w:pStyle w:val="Paragraphedeliste"/>
        <w:numPr>
          <w:ilvl w:val="0"/>
          <w:numId w:val="1"/>
        </w:numPr>
        <w:jc w:val="both"/>
        <w:rPr>
          <w:sz w:val="28"/>
          <w:szCs w:val="28"/>
          <w:lang w:val="fr-FR"/>
        </w:rPr>
      </w:pPr>
      <w:r w:rsidRPr="00F509F4">
        <w:rPr>
          <w:sz w:val="28"/>
          <w:szCs w:val="28"/>
          <w:lang w:val="fr-FR"/>
        </w:rPr>
        <w:t>Les détails et les procédés qui permettent de se représenter les scènes évoquées : le vocabulaire est précis</w:t>
      </w:r>
      <w:r w:rsidR="00F13FC8" w:rsidRPr="00F509F4">
        <w:rPr>
          <w:sz w:val="28"/>
          <w:szCs w:val="28"/>
          <w:lang w:val="fr-FR"/>
        </w:rPr>
        <w:t xml:space="preserve"> </w:t>
      </w:r>
      <w:r w:rsidRPr="00F509F4">
        <w:rPr>
          <w:sz w:val="28"/>
          <w:szCs w:val="28"/>
          <w:lang w:val="fr-FR"/>
        </w:rPr>
        <w:t>(« théâtre pleins de bruit et de lumière », «  les larges bras des marronniers ») ; l’auteur a recours à des métaphores («  toujours courbé</w:t>
      </w:r>
      <w:r w:rsidR="00F13FC8" w:rsidRPr="00F509F4">
        <w:rPr>
          <w:sz w:val="28"/>
          <w:szCs w:val="28"/>
          <w:lang w:val="fr-FR"/>
        </w:rPr>
        <w:t xml:space="preserve"> </w:t>
      </w:r>
      <w:r w:rsidRPr="00F509F4">
        <w:rPr>
          <w:sz w:val="28"/>
          <w:szCs w:val="28"/>
          <w:lang w:val="fr-FR"/>
        </w:rPr>
        <w:t>sous son poids », « cette rude et mince étoffe de la vie »).</w:t>
      </w:r>
    </w:p>
    <w:p w:rsidR="00400F25" w:rsidRPr="00F509F4" w:rsidRDefault="00400F25" w:rsidP="00F13FC8">
      <w:pPr>
        <w:pStyle w:val="Paragraphedeliste"/>
        <w:numPr>
          <w:ilvl w:val="0"/>
          <w:numId w:val="1"/>
        </w:numPr>
        <w:jc w:val="both"/>
        <w:rPr>
          <w:sz w:val="28"/>
          <w:szCs w:val="28"/>
          <w:lang w:val="fr-FR"/>
        </w:rPr>
      </w:pPr>
      <w:r w:rsidRPr="00F509F4">
        <w:rPr>
          <w:b/>
          <w:bCs/>
          <w:sz w:val="28"/>
          <w:szCs w:val="28"/>
          <w:lang w:val="fr-FR"/>
        </w:rPr>
        <w:t>Les procédés de répétitions qui donnent un rythme lancinant au texte</w:t>
      </w:r>
      <w:r w:rsidRPr="00F509F4">
        <w:rPr>
          <w:sz w:val="28"/>
          <w:szCs w:val="28"/>
          <w:lang w:val="fr-FR"/>
        </w:rPr>
        <w:t> : anaphore</w:t>
      </w:r>
      <w:r w:rsidR="007C78F2" w:rsidRPr="00F509F4">
        <w:rPr>
          <w:sz w:val="28"/>
          <w:szCs w:val="28"/>
          <w:lang w:val="fr-FR"/>
        </w:rPr>
        <w:t xml:space="preserve"> de « c’était »</w:t>
      </w:r>
      <w:r w:rsidR="00017D1F" w:rsidRPr="00F509F4">
        <w:rPr>
          <w:sz w:val="28"/>
          <w:szCs w:val="28"/>
          <w:lang w:val="fr-FR"/>
        </w:rPr>
        <w:t>, énumérations.</w:t>
      </w:r>
    </w:p>
    <w:p w:rsidR="00017D1F" w:rsidRPr="00F509F4" w:rsidRDefault="00017D1F" w:rsidP="00F13FC8">
      <w:pPr>
        <w:pStyle w:val="Paragraphedeliste"/>
        <w:numPr>
          <w:ilvl w:val="0"/>
          <w:numId w:val="1"/>
        </w:numPr>
        <w:jc w:val="both"/>
        <w:rPr>
          <w:sz w:val="28"/>
          <w:szCs w:val="28"/>
          <w:lang w:val="fr-FR"/>
        </w:rPr>
      </w:pPr>
      <w:r w:rsidRPr="00F509F4">
        <w:rPr>
          <w:b/>
          <w:bCs/>
          <w:sz w:val="28"/>
          <w:szCs w:val="28"/>
          <w:lang w:val="fr-FR"/>
        </w:rPr>
        <w:t>La composition du passage</w:t>
      </w:r>
      <w:r w:rsidRPr="00F509F4">
        <w:rPr>
          <w:sz w:val="28"/>
          <w:szCs w:val="28"/>
          <w:lang w:val="fr-FR"/>
        </w:rPr>
        <w:t> : de même que le condamné est « en prison dans une idée », le texte forme un cercle que l’expression « condamné à mort ! » ouvre et referme.</w:t>
      </w:r>
    </w:p>
    <w:p w:rsidR="00DE78EB" w:rsidRPr="00690672" w:rsidRDefault="00F509F4" w:rsidP="00690672">
      <w:pPr>
        <w:jc w:val="both"/>
        <w:rPr>
          <w:sz w:val="28"/>
          <w:szCs w:val="28"/>
          <w:lang w:val="fr-FR"/>
        </w:rPr>
      </w:pPr>
      <w:r w:rsidRPr="00F509F4">
        <w:rPr>
          <w:sz w:val="28"/>
          <w:szCs w:val="28"/>
          <w:lang w:val="fr-FR"/>
        </w:rPr>
        <w:t xml:space="preserve">3/ Victor Hugo, né le 26 février 1802 à Besançon et mort le 22 mai 1885 à Paris, est un poète lyrique, engagé ou épique selon les recueils ; romancier du peuple qui rencontre un grand succès avec </w:t>
      </w:r>
      <w:r w:rsidRPr="00F509F4">
        <w:rPr>
          <w:i/>
          <w:iCs/>
          <w:sz w:val="28"/>
          <w:szCs w:val="28"/>
          <w:lang w:val="fr-FR"/>
        </w:rPr>
        <w:t>Notre-Dame de Paris</w:t>
      </w:r>
      <w:r w:rsidRPr="00F509F4">
        <w:rPr>
          <w:sz w:val="28"/>
          <w:szCs w:val="28"/>
          <w:lang w:val="fr-FR"/>
        </w:rPr>
        <w:t xml:space="preserve"> (1831), et plus encore avec </w:t>
      </w:r>
      <w:r w:rsidRPr="00F509F4">
        <w:rPr>
          <w:i/>
          <w:iCs/>
          <w:sz w:val="28"/>
          <w:szCs w:val="28"/>
          <w:lang w:val="fr-FR"/>
        </w:rPr>
        <w:t>Les Misérables</w:t>
      </w:r>
      <w:r w:rsidRPr="00F509F4">
        <w:rPr>
          <w:sz w:val="28"/>
          <w:szCs w:val="28"/>
          <w:lang w:val="fr-FR"/>
        </w:rPr>
        <w:t xml:space="preserve"> (1862) ; il s’illustre au théâtre avec </w:t>
      </w:r>
      <w:r w:rsidRPr="00F509F4">
        <w:rPr>
          <w:i/>
          <w:iCs/>
          <w:sz w:val="28"/>
          <w:szCs w:val="28"/>
          <w:lang w:val="fr-FR"/>
        </w:rPr>
        <w:t>Hernani</w:t>
      </w:r>
      <w:r w:rsidRPr="00F509F4">
        <w:rPr>
          <w:sz w:val="28"/>
          <w:szCs w:val="28"/>
          <w:lang w:val="fr-FR"/>
        </w:rPr>
        <w:t xml:space="preserve"> (1830) ; et est également une personnalité politique et un intellectuel qui a compté dans l’Histoire du XIX </w:t>
      </w:r>
      <w:proofErr w:type="spellStart"/>
      <w:r w:rsidRPr="00F509F4">
        <w:rPr>
          <w:sz w:val="28"/>
          <w:szCs w:val="28"/>
          <w:lang w:val="fr-FR"/>
        </w:rPr>
        <w:t>ème</w:t>
      </w:r>
      <w:proofErr w:type="spellEnd"/>
      <w:r w:rsidRPr="00F509F4">
        <w:rPr>
          <w:sz w:val="28"/>
          <w:szCs w:val="28"/>
          <w:lang w:val="fr-FR"/>
        </w:rPr>
        <w:t xml:space="preserve"> siècle. Son œuvre multiple a fortement contribué à </w:t>
      </w:r>
      <w:proofErr w:type="spellStart"/>
      <w:r w:rsidRPr="00F509F4">
        <w:rPr>
          <w:sz w:val="28"/>
          <w:szCs w:val="28"/>
          <w:lang w:val="fr-FR"/>
        </w:rPr>
        <w:lastRenderedPageBreak/>
        <w:t>renouveller</w:t>
      </w:r>
      <w:proofErr w:type="spellEnd"/>
      <w:r w:rsidRPr="00F509F4">
        <w:rPr>
          <w:sz w:val="28"/>
          <w:szCs w:val="28"/>
          <w:lang w:val="fr-FR"/>
        </w:rPr>
        <w:t xml:space="preserve"> les genres et comprend également des discours politiques sur la peine de mort, l’école ou l’Europe, des récits de voyages, et une abondante correspondance. Ses multiples prises de position le condamneront à l’exil pendant les vingt ans du Second Empire. Ses choix, à la fois moraux et politiques, durant la deuxième partie de sa vie, et son œuvre hors du commun ont fait de lui un personnage emblématique que la Troisième République a honoré à sa mort par des funérailles nationales qui ont accompagné le transfert de sa dépouille au Panthéon de Paris, le 31 mai 1885.</w:t>
      </w:r>
      <w:r w:rsidR="00690672">
        <w:rPr>
          <w:sz w:val="28"/>
          <w:szCs w:val="28"/>
          <w:lang w:val="fr-FR"/>
        </w:rPr>
        <w:t xml:space="preserve"> </w:t>
      </w:r>
      <w:r w:rsidR="00DE78EB" w:rsidRPr="00690672">
        <w:rPr>
          <w:sz w:val="28"/>
          <w:szCs w:val="28"/>
          <w:lang w:val="fr-FR"/>
        </w:rPr>
        <w:t xml:space="preserve">Ce </w:t>
      </w:r>
      <w:hyperlink r:id="rId8" w:tooltip="Roman (littérature)" w:history="1">
        <w:r w:rsidR="00DE78EB" w:rsidRPr="00690672">
          <w:rPr>
            <w:rStyle w:val="Lienhypertexte"/>
            <w:color w:val="auto"/>
            <w:sz w:val="28"/>
            <w:szCs w:val="28"/>
            <w:u w:val="none"/>
            <w:lang w:val="fr-FR"/>
          </w:rPr>
          <w:t>roman</w:t>
        </w:r>
      </w:hyperlink>
      <w:r w:rsidR="00DE78EB" w:rsidRPr="00690672">
        <w:rPr>
          <w:sz w:val="28"/>
          <w:szCs w:val="28"/>
          <w:lang w:val="fr-FR"/>
        </w:rPr>
        <w:t xml:space="preserve"> se présente comme le journal d'un condamné à mort écrit durant les vingt-quatre dernières heures de son existence dans lequel il raconte ce qu'il a vécu depuis le début de son procès jusqu'au moment de son exécution, soit environ six semaines de sa vie. Ce récit, long monologue intérieur, est entrecoupé de réflexions angoissées et de souvenirs de son autre vie, la « vie d’avant ». Le lecteur ne connaît ni le nom de cet homme, ni ce qu'il a fait pour être condamné, mis à part la phrase : « moi, misérable qui ai commis un véritable crime, qui ai versé du sang ! ». L’œuvre se présente comme un témoignage brut, à la fois sur l’angoisse du condamné à mort et ses dernières pensées, les souffrances quotidiennes morales et physiques qu'il subit et sur les conditions de vie des prisonniers, par exemple dans la scène du ferrage des forçats. Il exprime ses sentiments sur sa vie antérieure et ses états d’âme. Il se fera exécuter sous la clameur du peuple qui voit sa mort comme un spectacle. </w:t>
      </w:r>
    </w:p>
    <w:p w:rsidR="00DE78EB" w:rsidRPr="00690672" w:rsidRDefault="00DE78EB" w:rsidP="00690672">
      <w:pPr>
        <w:jc w:val="both"/>
        <w:rPr>
          <w:sz w:val="28"/>
          <w:szCs w:val="28"/>
          <w:lang w:val="fr-FR"/>
        </w:rPr>
      </w:pPr>
    </w:p>
    <w:sectPr w:rsidR="00DE78EB" w:rsidRPr="00690672" w:rsidSect="00231C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0821E4"/>
    <w:multiLevelType w:val="hybridMultilevel"/>
    <w:tmpl w:val="DC007A22"/>
    <w:lvl w:ilvl="0" w:tplc="CB0E76F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EE582E"/>
    <w:multiLevelType w:val="hybridMultilevel"/>
    <w:tmpl w:val="D5269428"/>
    <w:lvl w:ilvl="0" w:tplc="6FF47C5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777D4"/>
    <w:rsid w:val="00017D1F"/>
    <w:rsid w:val="001652F5"/>
    <w:rsid w:val="00201FFD"/>
    <w:rsid w:val="00231C73"/>
    <w:rsid w:val="00284918"/>
    <w:rsid w:val="002964D9"/>
    <w:rsid w:val="00341A57"/>
    <w:rsid w:val="003C466A"/>
    <w:rsid w:val="00400F25"/>
    <w:rsid w:val="00505E0D"/>
    <w:rsid w:val="005457B0"/>
    <w:rsid w:val="006010B1"/>
    <w:rsid w:val="00602A8D"/>
    <w:rsid w:val="00690672"/>
    <w:rsid w:val="00783076"/>
    <w:rsid w:val="007C78F2"/>
    <w:rsid w:val="00DE78EB"/>
    <w:rsid w:val="00E777D4"/>
    <w:rsid w:val="00EE3759"/>
    <w:rsid w:val="00F13FC8"/>
    <w:rsid w:val="00F504A4"/>
    <w:rsid w:val="00F509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1728"/>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7D4"/>
    <w:pPr>
      <w:spacing w:after="200" w:line="276" w:lineRule="auto"/>
      <w:ind w:left="0"/>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00F25"/>
    <w:pPr>
      <w:ind w:left="720"/>
      <w:contextualSpacing/>
    </w:pPr>
  </w:style>
  <w:style w:type="character" w:styleId="lev">
    <w:name w:val="Strong"/>
    <w:basedOn w:val="Policepardfaut"/>
    <w:uiPriority w:val="22"/>
    <w:qFormat/>
    <w:rsid w:val="00F509F4"/>
    <w:rPr>
      <w:b/>
      <w:bCs/>
    </w:rPr>
  </w:style>
  <w:style w:type="paragraph" w:styleId="NormalWeb">
    <w:name w:val="Normal (Web)"/>
    <w:basedOn w:val="Normal"/>
    <w:uiPriority w:val="99"/>
    <w:semiHidden/>
    <w:unhideWhenUsed/>
    <w:rsid w:val="00DE78EB"/>
    <w:pPr>
      <w:spacing w:before="100" w:beforeAutospacing="1" w:after="100" w:afterAutospacing="1" w:line="240" w:lineRule="auto"/>
    </w:pPr>
    <w:rPr>
      <w:rFonts w:ascii="Times New Roman" w:eastAsia="Times New Roman" w:hAnsi="Times New Roman" w:cs="Times New Roman"/>
      <w:sz w:val="24"/>
      <w:szCs w:val="24"/>
    </w:rPr>
  </w:style>
  <w:style w:type="character" w:styleId="Lienhypertexte">
    <w:name w:val="Hyperlink"/>
    <w:basedOn w:val="Policepardfaut"/>
    <w:uiPriority w:val="99"/>
    <w:semiHidden/>
    <w:unhideWhenUsed/>
    <w:rsid w:val="00DE78EB"/>
    <w:rPr>
      <w:color w:val="0000FF"/>
      <w:u w:val="single"/>
    </w:rPr>
  </w:style>
</w:styles>
</file>

<file path=word/webSettings.xml><?xml version="1.0" encoding="utf-8"?>
<w:webSettings xmlns:r="http://schemas.openxmlformats.org/officeDocument/2006/relationships" xmlns:w="http://schemas.openxmlformats.org/wordprocessingml/2006/main">
  <w:divs>
    <w:div w:id="1475489841">
      <w:bodyDiv w:val="1"/>
      <w:marLeft w:val="0"/>
      <w:marRight w:val="0"/>
      <w:marTop w:val="0"/>
      <w:marBottom w:val="0"/>
      <w:divBdr>
        <w:top w:val="none" w:sz="0" w:space="0" w:color="auto"/>
        <w:left w:val="none" w:sz="0" w:space="0" w:color="auto"/>
        <w:bottom w:val="none" w:sz="0" w:space="0" w:color="auto"/>
        <w:right w:val="none" w:sz="0" w:space="0" w:color="auto"/>
      </w:divBdr>
    </w:div>
    <w:div w:id="162418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Roman_(litt%C3%A9rature)"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s://fbcdn-sphotos-h-a.akamaihd.net/hphotos-ak-ash4/189208_289517004495339_466131868_n.jpg"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819</Words>
  <Characters>4670</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SPI</Company>
  <LinksUpToDate>false</LinksUpToDate>
  <CharactersWithSpaces>5479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11</cp:revision>
  <dcterms:created xsi:type="dcterms:W3CDTF">2020-01-05T18:18:00Z</dcterms:created>
  <dcterms:modified xsi:type="dcterms:W3CDTF">2020-01-11T20:16:00Z</dcterms:modified>
</cp:coreProperties>
</file>